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60B5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70C71C39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8A4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D1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1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decembrī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4712D9E4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r w:rsidR="0010685E" w:rsidRPr="00CE3B3C">
        <w:rPr>
          <w:szCs w:val="24"/>
          <w:lang w:val="lv-LV"/>
        </w:rPr>
        <w:t>Malkas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FA7FE6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8D1096">
        <w:rPr>
          <w:szCs w:val="24"/>
          <w:lang w:val="lv-LV"/>
        </w:rPr>
        <w:t>10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32B8B57A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r w:rsidR="0010685E" w:rsidRPr="00CE3B3C">
              <w:rPr>
                <w:szCs w:val="24"/>
                <w:lang w:val="lv-LV"/>
              </w:rPr>
              <w:t>Malkas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531962">
              <w:rPr>
                <w:b w:val="0"/>
                <w:bCs w:val="0"/>
                <w:szCs w:val="24"/>
                <w:lang w:val="lv-LV"/>
              </w:rPr>
              <w:t>4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8D1096">
              <w:rPr>
                <w:b w:val="0"/>
                <w:bCs w:val="0"/>
                <w:szCs w:val="24"/>
                <w:lang w:val="lv-LV"/>
              </w:rPr>
              <w:t>10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Vēveris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39D1EDF7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1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D109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7508C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1096">
              <w:rPr>
                <w:rFonts w:ascii="Times New Roman" w:hAnsi="Times New Roman" w:cs="Times New Roman"/>
                <w:b/>
                <w:sz w:val="24"/>
                <w:szCs w:val="24"/>
              </w:rPr>
              <w:t>decembrim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1096">
              <w:rPr>
                <w:rFonts w:ascii="Times New Roman" w:hAnsi="Times New Roman" w:cs="Times New Roman"/>
                <w:sz w:val="24"/>
                <w:szCs w:val="24"/>
              </w:rPr>
              <w:t>vadiba</w:t>
            </w:r>
            <w:hyperlink r:id="rId10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61B66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61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7CB374EC" w:rsidR="009C49EE" w:rsidRPr="00661B66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096">
              <w:rPr>
                <w:rFonts w:ascii="Times New Roman" w:hAnsi="Times New Roman" w:cs="Times New Roman"/>
                <w:sz w:val="24"/>
                <w:szCs w:val="24"/>
              </w:rPr>
              <w:t>6.decembris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5137AE10" w:rsidR="00A85DEC" w:rsidRPr="00661B66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E1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bookmarkEnd w:id="1"/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AB0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D1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D1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aprīlim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3CAEF90C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9E1815" w:rsidRPr="009E181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9E181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684DD5C6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E18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8D1096">
              <w:rPr>
                <w:rFonts w:ascii="Times New Roman" w:eastAsia="Calibri" w:hAnsi="Times New Roman" w:cs="Times New Roman"/>
                <w:sz w:val="24"/>
                <w:szCs w:val="24"/>
              </w:rPr>
              <w:t>10.janvāris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44D40717" w14:textId="0DE83C1B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08001EF6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9E1815">
        <w:rPr>
          <w:szCs w:val="24"/>
          <w:lang w:val="lv-LV"/>
        </w:rPr>
        <w:t>10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41DEE783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="003719F2"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="003719F2" w:rsidRPr="00CE3B3C">
        <w:rPr>
          <w:szCs w:val="24"/>
          <w:lang w:val="lv-LV"/>
        </w:rPr>
        <w:t>/</w:t>
      </w:r>
      <w:r w:rsidR="009E1815">
        <w:rPr>
          <w:szCs w:val="24"/>
          <w:lang w:val="lv-LV"/>
        </w:rPr>
        <w:t>10</w:t>
      </w:r>
    </w:p>
    <w:p w14:paraId="4DB5544E" w14:textId="2BE2C84C" w:rsidR="00452C41" w:rsidRPr="00CE3B3C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134"/>
        <w:gridCol w:w="1276"/>
        <w:gridCol w:w="1134"/>
        <w:gridCol w:w="1559"/>
        <w:gridCol w:w="1134"/>
        <w:gridCol w:w="1276"/>
      </w:tblGrid>
      <w:tr w:rsidR="00182A1D" w:rsidRPr="00CE3B3C" w14:paraId="0F2A2820" w14:textId="6B14E2EA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BFF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DDB" w14:textId="6CC4C53F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D1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FBA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Diametrs,</w:t>
            </w:r>
          </w:p>
          <w:p w14:paraId="1CFC0A4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1E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Apjoms,</w:t>
            </w:r>
          </w:p>
          <w:p w14:paraId="398746C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</w:t>
            </w: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096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12D" w14:textId="4D03395D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>Cena par vienu m</w:t>
            </w:r>
            <w:r w:rsidRPr="006F7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 xml:space="preserve"> malkas,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0F3" w14:textId="18D0DC83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>Cena par visu apjomu, EUR bez PVN</w:t>
            </w:r>
          </w:p>
        </w:tc>
      </w:tr>
      <w:tr w:rsidR="00182A1D" w:rsidRPr="00CE3B3C" w14:paraId="786D2AE4" w14:textId="38C6BA28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EDA" w14:textId="77777777" w:rsidR="00182A1D" w:rsidRPr="00C80530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8053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91E" w14:textId="333C20F5" w:rsidR="00182A1D" w:rsidRPr="00CE3B3C" w:rsidRDefault="00182A1D" w:rsidP="00F368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1A2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F88" w14:textId="0C426E14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2625DB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0A4" w14:textId="443CECCC" w:rsidR="00182A1D" w:rsidRPr="00CE3B3C" w:rsidRDefault="008D1096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  <w:r w:rsidR="00060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D59" w14:textId="7467023B" w:rsidR="00182A1D" w:rsidRPr="00CE3B3C" w:rsidRDefault="00C22F61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90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CFE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F9BBB22" w14:textId="77777777" w:rsidR="00C22F61" w:rsidRPr="00CE3B3C" w:rsidRDefault="00C22F61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9034FF4" w14:textId="1AD8D0C1" w:rsidR="00182A1D" w:rsidRPr="00CE3B3C" w:rsidRDefault="0010685E" w:rsidP="00B14DDA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  <w:r w:rsidR="00182A1D"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02BA3095" w14:textId="77777777" w:rsidR="00CE3B3C" w:rsidRPr="00CE3B3C" w:rsidRDefault="00CE3B3C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76552" w14:textId="58EC77BB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276"/>
        <w:gridCol w:w="1275"/>
        <w:gridCol w:w="1985"/>
        <w:gridCol w:w="2693"/>
      </w:tblGrid>
      <w:tr w:rsidR="00956203" w:rsidRPr="00CE3B3C" w14:paraId="4D447E6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B2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86" w14:textId="654B2FEC" w:rsidR="00956203" w:rsidRPr="00CE3B3C" w:rsidRDefault="00182A1D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0EB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4D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B6C4DFA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1B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62FDF7C6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F2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956203" w:rsidRPr="00CE3B3C" w14:paraId="760CCB9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38E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E60" w14:textId="130CE738" w:rsidR="00956203" w:rsidRPr="00CE3B3C" w:rsidRDefault="00182A1D" w:rsidP="00B14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960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57F" w14:textId="54127A6F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873078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916" w14:textId="0E5A81E9" w:rsidR="00956203" w:rsidRPr="00CE3B3C" w:rsidRDefault="008D1096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  <w:r w:rsidR="00060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00</w:t>
            </w:r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kraujmēra</w:t>
            </w:r>
            <w:proofErr w:type="spellEnd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uzmērīšana atbilstoši 6.punkta prasībām)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390" w14:textId="5A853F41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</w:t>
            </w: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malka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 prasībām jāatbilst </w:t>
            </w:r>
            <w:r w:rsidR="00C42BB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tehniskās specifikācijas 5.punkta prasīb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ām</w:t>
            </w:r>
          </w:p>
        </w:tc>
      </w:tr>
    </w:tbl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18DBD88" w14:textId="77777777" w:rsidR="00060634" w:rsidRPr="00060634" w:rsidRDefault="00060634" w:rsidP="00060634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Calibri" w:hAnsi="Times New Roman" w:cs="Times New Roman"/>
          <w:kern w:val="2"/>
          <w:sz w:val="24"/>
          <w:szCs w:val="24"/>
        </w:rPr>
        <w:t>Prasības:</w:t>
      </w:r>
    </w:p>
    <w:p w14:paraId="75ACE404" w14:textId="384D1288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Nodrošināt malkas piegādi un izkraušanu adresē: “Nomales”, Naukšēni, Naukšēnu pag., Valmieras nov., LV-4244 ar piegādātāja transportu, darbaspēku un izmaksām (izmaksas par piegādi </w:t>
      </w:r>
      <w:r w:rsidR="009B31A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un izkraušanu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ir jāiekļauj cenā).</w:t>
      </w:r>
    </w:p>
    <w:p w14:paraId="04B476F3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Malkas piegāde tiek veikta ar pretendenta darbaspēku un transportu līdz pasūtītāja norādītai piegādes adresei.</w:t>
      </w:r>
    </w:p>
    <w:p w14:paraId="1A4407BF" w14:textId="5A8A8C49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Malkas piegādes laiks: darba dienās no plkst. 08:00 – 17:00. Katras piegādes apjoms un laiks iepriekš jāsaskaņo ar Pasūtītāju, viss apjoms jāpiegādā līdz 202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 gada 3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aprīlim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</w:p>
    <w:p w14:paraId="3EE9D818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Piegādes nosacījumi:</w:t>
      </w:r>
    </w:p>
    <w:p w14:paraId="2C13E2EB" w14:textId="688A5698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līdz 202</w:t>
      </w:r>
      <w:r w:rsidR="008D1096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.gada </w:t>
      </w:r>
      <w:r w:rsidR="008D1096">
        <w:rPr>
          <w:rFonts w:ascii="Times New Roman" w:eastAsia="Times New Roman" w:hAnsi="Times New Roman" w:cs="Times New Roman"/>
          <w:kern w:val="2"/>
          <w:sz w:val="24"/>
          <w:szCs w:val="24"/>
        </w:rPr>
        <w:t>31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.j</w:t>
      </w:r>
      <w:r w:rsidR="008D1096">
        <w:rPr>
          <w:rFonts w:ascii="Times New Roman" w:eastAsia="Times New Roman" w:hAnsi="Times New Roman" w:cs="Times New Roman"/>
          <w:kern w:val="2"/>
          <w:sz w:val="24"/>
          <w:szCs w:val="24"/>
        </w:rPr>
        <w:t>anvārim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</w:t>
      </w:r>
      <w:r w:rsidR="008D1096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</w:t>
      </w:r>
      <w:r w:rsidR="00EC5570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%</w:t>
      </w:r>
    </w:p>
    <w:p w14:paraId="11F50ED1" w14:textId="19E595F6" w:rsid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līdz 202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.gada</w:t>
      </w:r>
      <w:r w:rsidR="00443C88"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28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februārim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29EDC8E4" w14:textId="563EE3BC" w:rsidR="009E1815" w:rsidRPr="009E1815" w:rsidRDefault="009E1815" w:rsidP="009E181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līdz 202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.gada</w:t>
      </w:r>
      <w:r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31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martam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0146194F" w14:textId="14837A7B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līdz 202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.gada </w:t>
      </w:r>
      <w:r w:rsidR="00443C88"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.a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prīlim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</w:t>
      </w:r>
      <w:r w:rsidR="009E1815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041AB0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794593B5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Nosacījumi malkas kvalitātei:</w:t>
      </w:r>
    </w:p>
    <w:p w14:paraId="7D4086CE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Malkai jābūt bez trupes, bez fiziskiem piejaukumiem, bez cauriem vidiem (metālu gabaliem, smilts, melnzemi un tml.).</w:t>
      </w:r>
    </w:p>
    <w:p w14:paraId="2F80828D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Skuju koks, apse, papele, vītols, liepa, kastaņa piejaukums ne vairāk kā 25% no vienā reizē piegādātā kopapjoma.</w:t>
      </w:r>
    </w:p>
    <w:p w14:paraId="701D1C7C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Nav pieļaujamas radioaktīvas vielas, toksiskas un ķīmiskas vielas, metāliski iedegumi, plastmasa, </w:t>
      </w:r>
      <w:proofErr w:type="spellStart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apogļojums</w:t>
      </w:r>
      <w:proofErr w:type="spellEnd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un minerālvielas.</w:t>
      </w:r>
    </w:p>
    <w:p w14:paraId="27DAA2E8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Zariem jābūt atzarotiem līdzeni, ne augstāk kā 3 cm.</w:t>
      </w:r>
    </w:p>
    <w:p w14:paraId="09A85A74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Uzmērīšana: malkas uzmērīšana piegādes/pieņemšanas vietā tiek veikta saskaņā ar Ministru Kabineta 06.11.2007. noteikumiem Nr. 744 „Noteikumi par koku un apaļo kokmateriālu uzskaiti”, izmantojot grupveida uzmērīšanas metodi, nosakot tilpumu pēc </w:t>
      </w:r>
      <w:proofErr w:type="spellStart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kraujmēra</w:t>
      </w:r>
      <w:proofErr w:type="spellEnd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 Malkai mašīnā jābūt sakrautai rindās, koeficients: 0,54 (izvērtē katru kravu piegādes vietā).</w:t>
      </w:r>
    </w:p>
    <w:p w14:paraId="1AA2C226" w14:textId="77777777" w:rsidR="00060634" w:rsidRPr="00060634" w:rsidRDefault="00060634" w:rsidP="000606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Calibri" w:hAnsi="Times New Roman" w:cs="Times New Roman"/>
          <w:kern w:val="2"/>
          <w:sz w:val="24"/>
          <w:szCs w:val="24"/>
        </w:rPr>
        <w:t>Ja koksnes sortiments, daudzums, kvalitāte, neatbilst norādītajai koksnes specifikācijai, Pasūtītājam ir tiesības atteikties no koksnes pieņemšanas, nekavējoties par to informējot autovadītāju.</w:t>
      </w:r>
    </w:p>
    <w:p w14:paraId="70FEF382" w14:textId="77777777" w:rsidR="00060634" w:rsidRPr="00060634" w:rsidRDefault="00060634" w:rsidP="000606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D0BBE8" w14:textId="77777777" w:rsidR="00060634" w:rsidRPr="00060634" w:rsidRDefault="00060634" w:rsidP="00060634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62E32B5E" w14:textId="77777777" w:rsidR="004600E6" w:rsidRPr="00CE3B3C" w:rsidRDefault="004600E6" w:rsidP="0006063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7751B7">
      <w:footerReference w:type="default" r:id="rId11"/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F9F6" w14:textId="77777777" w:rsidR="00402617" w:rsidRDefault="00402617" w:rsidP="00F06EF8">
      <w:pPr>
        <w:spacing w:after="0" w:line="240" w:lineRule="auto"/>
      </w:pPr>
      <w:r>
        <w:separator/>
      </w:r>
    </w:p>
  </w:endnote>
  <w:endnote w:type="continuationSeparator" w:id="0">
    <w:p w14:paraId="4886574C" w14:textId="77777777" w:rsidR="00402617" w:rsidRDefault="00402617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C80E720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57420F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76D8" w14:textId="77777777" w:rsidR="00402617" w:rsidRDefault="00402617" w:rsidP="00F06EF8">
      <w:pPr>
        <w:spacing w:after="0" w:line="240" w:lineRule="auto"/>
      </w:pPr>
      <w:r>
        <w:separator/>
      </w:r>
    </w:p>
  </w:footnote>
  <w:footnote w:type="continuationSeparator" w:id="0">
    <w:p w14:paraId="441A183C" w14:textId="77777777" w:rsidR="00402617" w:rsidRDefault="00402617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  <w:num w:numId="25" w16cid:durableId="824246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27017"/>
    <w:rsid w:val="00031DD0"/>
    <w:rsid w:val="0003276C"/>
    <w:rsid w:val="0003503D"/>
    <w:rsid w:val="00041AB0"/>
    <w:rsid w:val="00043385"/>
    <w:rsid w:val="00045A3A"/>
    <w:rsid w:val="000514EF"/>
    <w:rsid w:val="00056983"/>
    <w:rsid w:val="00060634"/>
    <w:rsid w:val="00060B92"/>
    <w:rsid w:val="00066C22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97276"/>
    <w:rsid w:val="001B00D7"/>
    <w:rsid w:val="001B01C7"/>
    <w:rsid w:val="001B3723"/>
    <w:rsid w:val="001D5AEF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27B3C"/>
    <w:rsid w:val="00237B42"/>
    <w:rsid w:val="00250A8B"/>
    <w:rsid w:val="00255AF1"/>
    <w:rsid w:val="002625DB"/>
    <w:rsid w:val="002721DB"/>
    <w:rsid w:val="00282E11"/>
    <w:rsid w:val="002A2A5B"/>
    <w:rsid w:val="002A4C3B"/>
    <w:rsid w:val="002A734D"/>
    <w:rsid w:val="002C2842"/>
    <w:rsid w:val="002C7EED"/>
    <w:rsid w:val="002E0EB7"/>
    <w:rsid w:val="002E43C4"/>
    <w:rsid w:val="002E5ABA"/>
    <w:rsid w:val="00303444"/>
    <w:rsid w:val="003061C5"/>
    <w:rsid w:val="00306B3D"/>
    <w:rsid w:val="00312409"/>
    <w:rsid w:val="0031465E"/>
    <w:rsid w:val="003155A7"/>
    <w:rsid w:val="00321AF0"/>
    <w:rsid w:val="00327A2B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1602"/>
    <w:rsid w:val="00402617"/>
    <w:rsid w:val="00413E64"/>
    <w:rsid w:val="00415046"/>
    <w:rsid w:val="004203B7"/>
    <w:rsid w:val="00431441"/>
    <w:rsid w:val="00434AF7"/>
    <w:rsid w:val="00441944"/>
    <w:rsid w:val="00442009"/>
    <w:rsid w:val="00443C88"/>
    <w:rsid w:val="00443F9D"/>
    <w:rsid w:val="00445DA4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3667"/>
    <w:rsid w:val="004B5BDB"/>
    <w:rsid w:val="004C0552"/>
    <w:rsid w:val="004C2E2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13B22"/>
    <w:rsid w:val="005248E4"/>
    <w:rsid w:val="00524DE8"/>
    <w:rsid w:val="00531962"/>
    <w:rsid w:val="00540B12"/>
    <w:rsid w:val="00540C4A"/>
    <w:rsid w:val="0054102F"/>
    <w:rsid w:val="00544D44"/>
    <w:rsid w:val="0054513A"/>
    <w:rsid w:val="00563AA2"/>
    <w:rsid w:val="00564BF3"/>
    <w:rsid w:val="0056669E"/>
    <w:rsid w:val="0057420F"/>
    <w:rsid w:val="0057508C"/>
    <w:rsid w:val="00585D6B"/>
    <w:rsid w:val="00597198"/>
    <w:rsid w:val="005A32DC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071D8"/>
    <w:rsid w:val="00615E20"/>
    <w:rsid w:val="00620849"/>
    <w:rsid w:val="0062183C"/>
    <w:rsid w:val="00624795"/>
    <w:rsid w:val="006252A3"/>
    <w:rsid w:val="00633A25"/>
    <w:rsid w:val="0063420E"/>
    <w:rsid w:val="006569E6"/>
    <w:rsid w:val="00661B6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6F7C0E"/>
    <w:rsid w:val="007023C0"/>
    <w:rsid w:val="00705F3A"/>
    <w:rsid w:val="00720524"/>
    <w:rsid w:val="00720983"/>
    <w:rsid w:val="00725BA7"/>
    <w:rsid w:val="00744A5F"/>
    <w:rsid w:val="0075462D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2BAF"/>
    <w:rsid w:val="007B4B45"/>
    <w:rsid w:val="007B7EC1"/>
    <w:rsid w:val="007C5EF7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73078"/>
    <w:rsid w:val="0088429D"/>
    <w:rsid w:val="00886C28"/>
    <w:rsid w:val="00887109"/>
    <w:rsid w:val="00890C5E"/>
    <w:rsid w:val="008A27E2"/>
    <w:rsid w:val="008A467F"/>
    <w:rsid w:val="008A4AC2"/>
    <w:rsid w:val="008A54AE"/>
    <w:rsid w:val="008C0A60"/>
    <w:rsid w:val="008C4709"/>
    <w:rsid w:val="008C7424"/>
    <w:rsid w:val="008D1096"/>
    <w:rsid w:val="008D1A93"/>
    <w:rsid w:val="008D4E2B"/>
    <w:rsid w:val="008D6489"/>
    <w:rsid w:val="008E78D7"/>
    <w:rsid w:val="008F2AF5"/>
    <w:rsid w:val="008F5D0A"/>
    <w:rsid w:val="00914B5E"/>
    <w:rsid w:val="0091598C"/>
    <w:rsid w:val="0092776D"/>
    <w:rsid w:val="0093349A"/>
    <w:rsid w:val="00934ADD"/>
    <w:rsid w:val="009428F9"/>
    <w:rsid w:val="00956203"/>
    <w:rsid w:val="0097392F"/>
    <w:rsid w:val="009740AC"/>
    <w:rsid w:val="009833B6"/>
    <w:rsid w:val="00983876"/>
    <w:rsid w:val="00986197"/>
    <w:rsid w:val="0098679C"/>
    <w:rsid w:val="00993C96"/>
    <w:rsid w:val="009A6C8D"/>
    <w:rsid w:val="009B31AE"/>
    <w:rsid w:val="009C49EE"/>
    <w:rsid w:val="009C7809"/>
    <w:rsid w:val="009D2BCE"/>
    <w:rsid w:val="009D44B2"/>
    <w:rsid w:val="009D481A"/>
    <w:rsid w:val="009E1815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456E4"/>
    <w:rsid w:val="00A505A7"/>
    <w:rsid w:val="00A51114"/>
    <w:rsid w:val="00A61EB0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7054"/>
    <w:rsid w:val="00B14DDA"/>
    <w:rsid w:val="00B179BE"/>
    <w:rsid w:val="00B21EB5"/>
    <w:rsid w:val="00B237F6"/>
    <w:rsid w:val="00B245E4"/>
    <w:rsid w:val="00B35C1F"/>
    <w:rsid w:val="00B4120C"/>
    <w:rsid w:val="00B47C49"/>
    <w:rsid w:val="00B50CB0"/>
    <w:rsid w:val="00B65042"/>
    <w:rsid w:val="00B70C06"/>
    <w:rsid w:val="00B70C82"/>
    <w:rsid w:val="00B722AC"/>
    <w:rsid w:val="00B765AC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C011A1"/>
    <w:rsid w:val="00C0487A"/>
    <w:rsid w:val="00C115F2"/>
    <w:rsid w:val="00C1759D"/>
    <w:rsid w:val="00C2159D"/>
    <w:rsid w:val="00C22F61"/>
    <w:rsid w:val="00C25313"/>
    <w:rsid w:val="00C26744"/>
    <w:rsid w:val="00C3139E"/>
    <w:rsid w:val="00C42BB6"/>
    <w:rsid w:val="00C5287A"/>
    <w:rsid w:val="00C53E14"/>
    <w:rsid w:val="00C6748F"/>
    <w:rsid w:val="00C7175E"/>
    <w:rsid w:val="00C75668"/>
    <w:rsid w:val="00C80530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2188C"/>
    <w:rsid w:val="00D253C2"/>
    <w:rsid w:val="00D307BA"/>
    <w:rsid w:val="00D36B9D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31CF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C5570"/>
    <w:rsid w:val="00ED5243"/>
    <w:rsid w:val="00ED762F"/>
    <w:rsid w:val="00EE14FE"/>
    <w:rsid w:val="00EF3B5E"/>
    <w:rsid w:val="00F01087"/>
    <w:rsid w:val="00F0250E"/>
    <w:rsid w:val="00F035F2"/>
    <w:rsid w:val="00F05090"/>
    <w:rsid w:val="00F06EF8"/>
    <w:rsid w:val="00F15786"/>
    <w:rsid w:val="00F21588"/>
    <w:rsid w:val="00F23BEF"/>
    <w:rsid w:val="00F368E5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A7FE6"/>
    <w:rsid w:val="00FB57FE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4080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Rūjienas siltums</dc:creator>
  <cp:lastModifiedBy>Gints Vēveris</cp:lastModifiedBy>
  <cp:revision>8</cp:revision>
  <cp:lastPrinted>2024-01-10T08:34:00Z</cp:lastPrinted>
  <dcterms:created xsi:type="dcterms:W3CDTF">2024-06-14T08:05:00Z</dcterms:created>
  <dcterms:modified xsi:type="dcterms:W3CDTF">2024-12-16T09:00:00Z</dcterms:modified>
</cp:coreProperties>
</file>